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黑体" w:hAnsi="黑体" w:eastAsia="黑体" w:cs="黑体"/>
          <w:color w:val="000000" w:themeColor="text1"/>
          <w:sz w:val="32"/>
          <w:szCs w:val="32"/>
          <w:u w:val="none"/>
          <w:lang w:val="en-US" w:eastAsia="zh-CN"/>
          <w14:textFill>
            <w14:solidFill>
              <w14:schemeClr w14:val="tx1"/>
            </w14:solidFill>
          </w14:textFill>
        </w:rPr>
      </w:pPr>
      <w:r>
        <w:rPr>
          <w:rFonts w:hint="default" w:ascii="黑体" w:hAnsi="黑体" w:eastAsia="黑体" w:cs="黑体"/>
          <w:color w:val="000000" w:themeColor="text1"/>
          <w:sz w:val="32"/>
          <w:szCs w:val="32"/>
          <w:u w:val="none"/>
          <w:lang w:val="en-US" w:eastAsia="zh-CN"/>
          <w14:textFill>
            <w14:solidFill>
              <w14:schemeClr w14:val="tx1"/>
            </w14:solidFill>
          </w14:textFill>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default" w:ascii="黑体" w:hAnsi="黑体" w:eastAsia="黑体" w:cs="黑体"/>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市直机关党史党规</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党纪</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应知应会知识测试卷</w:t>
      </w:r>
    </w:p>
    <w:p>
      <w:pPr>
        <w:keepNext w:val="0"/>
        <w:keepLines w:val="0"/>
        <w:pageBreakBefore w:val="0"/>
        <w:widowControl w:val="0"/>
        <w:kinsoku/>
        <w:wordWrap/>
        <w:overflowPunct/>
        <w:topLinePunct w:val="0"/>
        <w:autoSpaceDE/>
        <w:autoSpaceDN/>
        <w:bidi w:val="0"/>
        <w:adjustRightInd w:val="0"/>
        <w:snapToGrid w:val="0"/>
        <w:spacing w:after="157" w:afterLines="50" w:line="60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（共</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50道题  满分100分）</w:t>
      </w:r>
    </w:p>
    <w:p>
      <w:pPr>
        <w:keepNext w:val="0"/>
        <w:keepLines w:val="0"/>
        <w:pageBreakBefore w:val="0"/>
        <w:widowControl w:val="0"/>
        <w:numPr>
          <w:ilvl w:val="0"/>
          <w:numId w:val="0"/>
        </w:numPr>
        <w:tabs>
          <w:tab w:val="left" w:pos="210"/>
          <w:tab w:val="left" w:pos="420"/>
          <w:tab w:val="left" w:pos="8400"/>
          <w:tab w:val="left" w:pos="8610"/>
        </w:tabs>
        <w:kinsoku/>
        <w:wordWrap/>
        <w:overflowPunct/>
        <w:topLinePunct w:val="0"/>
        <w:autoSpaceDE/>
        <w:autoSpaceDN/>
        <w:bidi w:val="0"/>
        <w:adjustRightInd w:val="0"/>
        <w:snapToGrid w:val="0"/>
        <w:spacing w:line="560" w:lineRule="exact"/>
        <w:ind w:firstLine="280" w:firstLineChars="100"/>
        <w:jc w:val="left"/>
        <w:textAlignment w:val="auto"/>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u w:val="none"/>
          <w:lang w:val="en-US" w:eastAsia="zh-CN"/>
          <w14:textFill>
            <w14:solidFill>
              <w14:schemeClr w14:val="tx1"/>
            </w14:solidFill>
          </w14:textFill>
        </w:rPr>
        <w:t>单位：</w:t>
      </w:r>
      <w:r>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u w:val="none"/>
          <w:lang w:val="en-US" w:eastAsia="zh-CN"/>
          <w14:textFill>
            <w14:solidFill>
              <w14:schemeClr w14:val="tx1"/>
            </w14:solidFill>
          </w14:textFill>
        </w:rPr>
        <w:t>姓名：</w:t>
      </w:r>
      <w:r>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u w:val="none"/>
          <w:lang w:val="en-US" w:eastAsia="zh-CN"/>
          <w14:textFill>
            <w14:solidFill>
              <w14:schemeClr w14:val="tx1"/>
            </w14:solidFill>
          </w14:textFill>
        </w:rPr>
        <w:t>得分：</w:t>
      </w:r>
      <w:r>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120" w:firstLineChars="400"/>
        <w:jc w:val="both"/>
        <w:textAlignment w:val="auto"/>
        <w:rPr>
          <w:rFonts w:hint="default" w:ascii="Times New Roman" w:hAnsi="Times New Roman" w:eastAsia="黑体" w:cs="Times New Roman"/>
          <w:color w:val="000000" w:themeColor="text1"/>
          <w:sz w:val="28"/>
          <w:szCs w:val="28"/>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一、填空题</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（共20道题，每题2分，共计40分。各空全部答对得2分；某空未答或错答，该题均不得分。）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中国共产党一经诞生，就把为</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确立为自己的初心使命。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一百年来，中国共产党团结带领中国人民进行的一切奋斗、一切牺牲、一切创造，归结起来就是一个主题：</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一百年前，中国共产党的先驱们创建了中国共产党，形</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成</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的伟大建党精神，这是中国共产党的精神之源。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新时代的中国青年要以实现中华民族伟大复兴为己任，增强做中国人的</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习近平总书记在202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年6月29日中央政治局第二十一次集体学习时指出，要把中央和国家机关建设成为</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、的模范机关。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在现阶段，我国社会的主要矛盾是：</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之间的矛盾。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新时代，必须按照中国特色社会主义</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总体布局和</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战略布局，统筹推进经济建设、</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、文化建设、社会建设、</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，协调推进全面建成小康社会、</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、全面依法治国、</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是中国特色社会主义最本质的特征，是中国特色社会主义制度的最大优势。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机关党建工作在各级党委领导下，由同级</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统一领导、</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具体领导和管理，有关部门各负其责、密切配合，形成工作合力。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党员如果没有正当理由，连续</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个月不参加党的组织生活，或不交纳党费，或不做党所分配的工作，就被认为是自行脱党。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党的纪律主要包括</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12.《中国共产党章程》规定，对党员的纪律处分有五种：</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13</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“四个意识”是指：</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“四个自信”是指：</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“两个维护”是指：坚决</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维护</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坚决</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维护</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2020年4月20日至23日，习近平总书记来陕考察工作，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对陕西提出要在推动</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迈出更大步伐，打造</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，推动</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持续好转，加强</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，推动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向纵深发展五项要求。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16</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汉中市委五届十二次全会提出深入实施</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战略、建好</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17</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“三会一课”是指定期召开</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，按时上好</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汉中市委五届十二次全会提出的“13469”战略中，“1”具体指发挥生态和文化优势，坚持</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这一战略定位。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19</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“四个在汉中”是指</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20</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2021年7月，汉中市领导干部研学考察团考察结束后，市委书记</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钟</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洪江同志向全市领导干部提出“十问”和把握好</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“十对关系”</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。其中</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“十问”</w:t>
      </w:r>
      <w:bookmarkStart w:id="0" w:name="_GoBack"/>
      <w:bookmarkEnd w:id="0"/>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分别是：</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之问；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“十对关系”是指：</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要处理好</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二、单项选择题</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（共20道题，每题2分，共计40分。）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中国共产党的最高理想和最终目标是实现（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A.中华民族伟大复兴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B.社会主义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C .中国梦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D.共产主义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习近平总书记指出，做好新时代机关党建工作，离不开一支高素质专业化的党务干部队伍。要加强和改进专兼职党务干部教育培训，提高素质能力，把党务干部培养成为（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A.政治上的明白人、服务群众的贴心人、党建工作的内行人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B.政治上的明白人、党建工作的内行人、干部职工的贴心人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C.作风上的实干人、克难攻坚的担当人、干部职工的贴心人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D.作风上的实干人、党建工作的内行人，服务群众的贴心人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土地革命时期，中国共产党建立的第一个红色政权是（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A.井冈山根据地茶陵县工农兵政府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B.右江工农民主政府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C.闽西工农民主政府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D.瑞金中华苏维埃共和国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4</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党支部一般（  ）至少组织党员听一次党课，党支部书记每年至少讲（  ）党课。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A.每月、一次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B.每月、二次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C.每季度、一次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D.每年度、四次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5</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机关基层党组织在</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上级党的委员会</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或者（  ）领导下，协助本单位负责人完成任务，改进工作，对包括本单位负责人在内的每个党员进行教育、管理、监督，不领导本单位业务工作。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A.上级党的委员会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B.上级党组织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C.党的机关工作委员会</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和单位党组（党委）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D.本单位党组（党委）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6</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中国共产党第一次独立自主地运用马克思主义原理解决自己的路线、方针、政策的会议是（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A.中共一大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B.遵义会议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C.中共八大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D.中共十一届三中全会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7</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党的十九大报告指出，（  ）是改革开放以来党的全部理论和实践的主题，是党和人民历尽千辛万苦、付出巨大代价取得的根本成就。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A.中国特色社会主义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B.实现共同富裕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C.建设社会主义强国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D.实现民族复兴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8</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党的</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机关</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委员会每届任期（  ）年</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总支部委员会、支部委员会每届任期（  ）年。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A.2</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5、3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C.4</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D.2</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9</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运用监督执纪“四种”形态，经常开展批评和自我批评、约谈函询，让（  ）成为常态。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A.党纪轻处分、组织调整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B.党纪重处分、重大职务调整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C.红红脸、出出汗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D.严重违纪涉嫌违法立案审查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10</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对于严重违犯党的纪律、本身又不能纠正的党组织，上一级党的委员会在查明核实后，根据情节严重的程度，可以予以（  ）和解散。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A.约谈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C.整顿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D.改组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11</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汉中市直机关开展的“一争两服务”活动，具体是指争做（  ），服务（  ）、 （  ），服务（  ）、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A.合格党员  </w:t>
      </w:r>
      <w:r>
        <w:rPr>
          <w:rFonts w:hint="default" w:ascii="Times New Roman" w:hAnsi="Times New Roman" w:eastAsia="仿宋_GB2312" w:cs="Times New Roman"/>
          <w:color w:val="000000" w:themeColor="text1"/>
          <w:sz w:val="32"/>
          <w:szCs w:val="32"/>
          <w14:textFill>
            <w14:solidFill>
              <w14:schemeClr w14:val="tx1"/>
            </w14:solidFill>
          </w14:textFill>
        </w:rPr>
        <w:t>招商引资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重点项目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巩固脱贫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乡村振兴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B.合格党员  项目建设  国卫复审  </w:t>
      </w:r>
      <w:r>
        <w:rPr>
          <w:rFonts w:hint="default" w:ascii="Times New Roman" w:hAnsi="Times New Roman" w:eastAsia="仿宋_GB2312" w:cs="Times New Roman"/>
          <w:color w:val="000000" w:themeColor="text1"/>
          <w:sz w:val="32"/>
          <w:szCs w:val="32"/>
          <w14:textFill>
            <w14:solidFill>
              <w14:schemeClr w14:val="tx1"/>
            </w14:solidFill>
          </w14:textFill>
        </w:rPr>
        <w:t>巩固脱贫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乡村振兴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C.优秀党员  </w:t>
      </w:r>
      <w:r>
        <w:rPr>
          <w:rFonts w:hint="default" w:ascii="Times New Roman" w:hAnsi="Times New Roman" w:eastAsia="仿宋_GB2312" w:cs="Times New Roman"/>
          <w:color w:val="000000" w:themeColor="text1"/>
          <w:sz w:val="32"/>
          <w:szCs w:val="32"/>
          <w14:textFill>
            <w14:solidFill>
              <w14:schemeClr w14:val="tx1"/>
            </w14:solidFill>
          </w14:textFill>
        </w:rPr>
        <w:t>招商引资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重点项目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巩固脱贫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乡村振兴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D.优秀党员  </w:t>
      </w:r>
      <w:r>
        <w:rPr>
          <w:rFonts w:hint="default" w:ascii="Times New Roman" w:hAnsi="Times New Roman" w:eastAsia="仿宋_GB2312" w:cs="Times New Roman"/>
          <w:color w:val="000000" w:themeColor="text1"/>
          <w:sz w:val="32"/>
          <w:szCs w:val="32"/>
          <w14:textFill>
            <w14:solidFill>
              <w14:schemeClr w14:val="tx1"/>
            </w14:solidFill>
          </w14:textFill>
        </w:rPr>
        <w:t>招商引资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重点项目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社区群众  脱贫攻坚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12</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党员受到警告处分（  ）内、</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受</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到严重警告处分（  ）内，不得在党内提升职务和向党外组织推荐担任高于其原职务的党外职务。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A.一年、一年半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B.一年、两年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C.半年、一年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D.一年、一年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13</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党员受到开除党籍处分，（  ）内不得重新入党，也不得推荐担任与其原任职务相当或者高于其原任职务的党外职务。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A.三年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B.四年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C.五年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D.六年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14</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延安整风运动，其主要内容不包括（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A.反对主观主义以整顿学风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B.反对宗派主义以整顿党风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C.反对党八股以整顿文风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D.反对军阀主义以整顿军风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15</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“两个一百年”的奋斗目标，是指在中国共产党成立一百年时全面建成小康社会，在新中国成立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一百年时建成（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A.富强民主文明的国家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B.富强民主文明和谐美丽的社会主义现代化强国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C.富强民主文明法治的国家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D.农业、工业、科技、军事、服务全面现代化的强国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16</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实现中国梦必须弘扬中国精神。这就是以（  ）为核心的民族精神，以（  ）为核心的时代精神。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A.爱国主义、顽强拼搏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B.爱国主义、开拓创新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C.爱国主义、改革创新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D.民族自尊、改革开放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17</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发展是解决我国一切问题的基础和关键，发展必须是科学发展，必须坚定不移贯彻（  ）的发展理念。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A.创新、协调、绿色、开放、共享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B.创造、协调、生态、开放、共享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C.创新、统筹、绿色、开放、共享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D.创造、统筹、生态、开放、共享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18</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党的十九大报告指出，伟大斗争，伟大工程，伟大事业，伟大梦想，紧密联系、相互贯通、相互作用，其中起决定性作用的是（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A.党的建设新的伟大工程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B.进行伟大斗争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C.推进伟大事业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D.实现伟大梦想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19</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“十四五”时期是我国全面建成小康社会、实现第一个百年奋斗目标之后，乘势而上开启（  ）新征程、向第二个百年奋斗目标进军的第一个五年。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A.实现高标准小康社会建设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B.全面建设社会主义现代化国家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C.中国特色社会主义建设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D.中国全面走向富强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20</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中国共产党陕西省第十三届委员会第九次全体会议</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于2021年</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）在西安举行。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A.7月19日至20日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B.7月6日至7日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C.6月29日至30日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D.7月15日至16日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三、多项选择题</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（共10道题，每题2分，共计20分。多选、漏选或顺序错误均不得分）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习近平总书记在庆祝中国共产党成立100周年大会上指出，一百年来，中国共产党弘扬（  ），在长期奋斗中构建起中国共产党人的（  ），锤炼出鲜明的（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A.理想信念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B.伟大建党精神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C.精神谱系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D.政治品格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党史学习教育的主题是学史明理、学史增信、（  ）、（  ），目标要求是学党史、悟思想、（  ）、（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A.学史崇德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B.学史力行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C.转作风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D.办实事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E.提素能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F.开新局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《中国共产党章程》规定，党员必须履行八项义务。下列哪些选项属于党员必须履行的义务（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A.坚持党和人民的利益高于一切，个人利益服从党和人民的利益，吃苦在前，享受在后，克己奉公，多做奉献。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B.自觉遵守党的纪律，首先是党的政治纪律和政治规矩，模范遵守国家的法律法规，严格保守党和国家的秘密，执行党的决定，服从组织分配，积极完成党的任务。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C.参加党的有关会议，阅读党的有关文件，接受党的教育和培训。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E.维护党的团结和统一，对党忠诚老实，言行一致，坚决反对一切派别组织和小集团活动，反对阳奉阴违的两面派行为和一切阴谋诡计。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F.在党的会议上和党报党刊上，参加关于党的政策问题的讨论。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4</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抗日战争时期，毛泽东在《（共产党人〉发刊词》中首次指出中国共产党在中国革命中战胜敌人的三个法宝是（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A.统一战线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B.实事求是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C.武装斗争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D.党的建设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5</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新形势下，党面临的（  ）考验、（  ）考验、（  ）考验、外部环境考验是长期的、复杂的、严峻的。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A.执政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B.消极腐败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C.改革开放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D.市场经济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6</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2019年7月9日，习近平总书记在中央和国家机关党的建设工作会议上指出：讲政治是具体的，“两个维护”要体现在（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A.坚决贯彻党中央决策部署的行动上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B.履职尽责、做好本职工作的实效上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C.服务群众、为群众办实事解难事上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D.党员、干部的日常言行上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7</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党的十九届五中全会通过了《中共中央关于制定国民经济和社会发展第十四个五年规划和二〇三五年远景目标的建议》。关于2035年远景目标，下列阐述准确的是（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A.基本实现新型工业化、信息化、城镇化、农业现代化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B.人均国内生产总值达到中等发达国家水平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C.关键核心技术实现全面突破，成为创新型国家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D.生态环境根本好转，美丽中国建设目标基本实现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E.基本建成法治国家、法治政府、法治社会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8</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陕西省委书记刘国中在省委十三届九次全会上强调，要大力发展县域经济，因地制宜推进（  ）、（  ）、（  ），强化土地、财政、金融等政策支持。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A.一县一策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B.优势主导产业培育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C.园区提档升级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D.县城城镇化建设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9</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汉中市委书记钟洪江在市委五届十二次全会上强调，要以抓落实的行动体现讲政治，从讲政治的高度推动抓落实，紧盯“（  ）、（  ）”目标，树立“（  ）、（  ）”的鲜明导向，用脚步丈量责任、用真情体验民情、用汗水书写担当。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A.凭实绩说话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B.纵向提占比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C.横向</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争先进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D.靠作风吃饭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10</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汉中市“学党史、学讲话、开新局”大讨论大调研活动主要采取“大学习、（  ）、（  ）、大落实”方式开展。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A.大梳理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B.大讨论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C.大走访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D.大调研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p>
    <w:sectPr>
      <w:footerReference r:id="rId3" w:type="default"/>
      <w:footerReference r:id="rId4" w:type="even"/>
      <w:pgSz w:w="11906" w:h="16838"/>
      <w:pgMar w:top="2098"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0288;mso-width-relative:page;mso-height-relative:page;" filled="f" stroked="f" coordsize="21600,21600" o:gfxdata="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5p7a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E5E0D"/>
    <w:rsid w:val="014E345D"/>
    <w:rsid w:val="023405BE"/>
    <w:rsid w:val="041E4136"/>
    <w:rsid w:val="04374076"/>
    <w:rsid w:val="049B0865"/>
    <w:rsid w:val="054C6BAE"/>
    <w:rsid w:val="065E1282"/>
    <w:rsid w:val="069D4857"/>
    <w:rsid w:val="08394C76"/>
    <w:rsid w:val="0A310210"/>
    <w:rsid w:val="0CDC1795"/>
    <w:rsid w:val="0CFA08D5"/>
    <w:rsid w:val="112D5645"/>
    <w:rsid w:val="117D5E74"/>
    <w:rsid w:val="149A629E"/>
    <w:rsid w:val="14C81315"/>
    <w:rsid w:val="14E6256B"/>
    <w:rsid w:val="16F9489A"/>
    <w:rsid w:val="17CA438F"/>
    <w:rsid w:val="1A426643"/>
    <w:rsid w:val="1B555C27"/>
    <w:rsid w:val="1FF12154"/>
    <w:rsid w:val="25BB1134"/>
    <w:rsid w:val="295C3C6A"/>
    <w:rsid w:val="2A2F37ED"/>
    <w:rsid w:val="2FDC048D"/>
    <w:rsid w:val="30115DE4"/>
    <w:rsid w:val="33C1259A"/>
    <w:rsid w:val="34F42FCB"/>
    <w:rsid w:val="3A1E23CF"/>
    <w:rsid w:val="4181202D"/>
    <w:rsid w:val="470D3AA1"/>
    <w:rsid w:val="48331F97"/>
    <w:rsid w:val="486520E8"/>
    <w:rsid w:val="49F8652A"/>
    <w:rsid w:val="4C655699"/>
    <w:rsid w:val="4CBF6007"/>
    <w:rsid w:val="511A12AC"/>
    <w:rsid w:val="51DC1249"/>
    <w:rsid w:val="54562179"/>
    <w:rsid w:val="558804EE"/>
    <w:rsid w:val="5814160F"/>
    <w:rsid w:val="5BED062E"/>
    <w:rsid w:val="5C4F1DD3"/>
    <w:rsid w:val="5C8766EF"/>
    <w:rsid w:val="5E21226A"/>
    <w:rsid w:val="5F4230BA"/>
    <w:rsid w:val="6337573B"/>
    <w:rsid w:val="66E74900"/>
    <w:rsid w:val="6A7B49F4"/>
    <w:rsid w:val="6EEC5AD6"/>
    <w:rsid w:val="754A232E"/>
    <w:rsid w:val="776B2C17"/>
    <w:rsid w:val="792E5E0D"/>
    <w:rsid w:val="7D336427"/>
    <w:rsid w:val="7DC8590E"/>
    <w:rsid w:val="7F7A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88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2021-09-07T02:16:00Z</dcterms:created>
  <dc:creator>秋水长天</dc:creator>
  <cp:lastModifiedBy>秋水长天</cp:lastModifiedBy>
  <cp:lastPrinted>2021-09-24T06:38:00Z</cp:lastPrinted>
  <dcterms:modified xsi:type="dcterms:W3CDTF">2021-09-28T08:03:52Z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6484AD043F37485EB999C767BBC68B79</vt:lpwstr>
  </property>
</Properties>
</file>